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>PROPOSIÇÃO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 xml:space="preserve"> DE LEI Nº 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>47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>06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>DEZEMBRO</w:t>
      </w:r>
      <w:r>
        <w:rPr>
          <w:rFonts w:ascii="Times New Roman" w:cs="Times New Roman" w:eastAsia="Times New Roman" w:hAnsi="Times New Roman"/>
          <w:b/>
          <w:bCs/>
          <w:color w:val="0000FF"/>
          <w:spacing w:val="20"/>
          <w:sz w:val="24"/>
          <w:szCs w:val="24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AUTORIZA A DOAÇÃO DO LOTE “P/L3”, DA QUADRA J20, DO BAIRRO BELA VISTA, À PESSOA CARENTE QUE MENCIONA E DÁ OUTRAS PROVIDÊNCIAS.</w:t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spacing w:val="20"/>
          <w:lang w:eastAsia="pt-BR"/>
        </w:rPr>
        <w:t>, Prefeito de Limeira do Oeste, Estado de Minas Gerais, no uso de suas atribuições legais, com suporte no artigo 77, inciso I, artigo 114 e § 1º do artigo 115, da Lei Orgânica Municipal e artigo 17, inciso I, alínea “b” da Lei nº. 8.666/93, faz saber que a Câmara Municipal,</w:t>
      </w:r>
      <w:bookmarkStart w:id="0" w:name="_GoBack"/>
      <w:bookmarkEnd w:id="0"/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por seus representantes, aprovou e ele sanciona a seguinte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Art. 1º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Fica o Poder Executivo Municipal autorizado a doar às Senhoras Franciele Carvalho Cacimiliano, inscrita no CPF nº. 118.777.056-67 e Suélen Naiara Carvalho, inscrita no CPF nº 436.248.018-80, residentes e domiciliadas na Rua Goiás, nº 1337, neste município, parte do Lote 03, da quadra J20, com a área de 175,50 m², situado no Bairro Jardim Bela Vista, nesta cidade, incluído como patrimônio do Município através da Lei nº 507 de 09 de dezembro de 2008 objeto da Matrícula R-1/19.901, do Serviço Registral de Imóveis da Comarca de Iturama MG, dentro das seguintes medidas e confrontações: </w:t>
      </w:r>
      <w:r>
        <w:rPr>
          <w:rFonts w:ascii="Times New Roman" w:cs="Times New Roman" w:eastAsia="Times New Roman" w:hAnsi="Times New Roman"/>
          <w:i/>
          <w:spacing w:val="20"/>
          <w:lang w:eastAsia="pt-BR"/>
        </w:rPr>
        <w:t>“PARTE LOTE 03 = 175,50 m ² "Tem início a 13,50 m (treze metros e cinquenta centímetros ) da esquina da Avenida Faustina Antônia de Oliveira com Rua Severino Marcolino da Silva; com 13,50 m ( treze metros e cinquenta centímetros ) de frente para a Avenida Faustina Antônia de Oliveira; igual medida de fundo com parte do lote 02; 13,00 m ( treze metros ) de um lado com parte do mesmo lote 03, e igual medida do outro com parte do lote 04."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i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Art. 2º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A doação atende a principio social, levando em consideração que as donatárias são pessoas carentes, desprovidas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line="360" w:lineRule="auto"/>
        <w:ind w:firstLine="2550" w:left="0" w:right="0"/>
        <w:jc w:val="both"/>
      </w:pPr>
      <w:r>
        <w:rPr>
          <w:rFonts w:ascii="Times New Roman" w:hAnsi="Times New Roman"/>
          <w:b w:val="false"/>
          <w:bCs w:val="false"/>
          <w:color w:val="0000FF"/>
          <w:lang w:eastAsia="pt-BR"/>
        </w:rPr>
        <w:t>Art.  3º</w:t>
      </w:r>
      <w:r>
        <w:rPr>
          <w:rFonts w:ascii="Times New Roman" w:hAnsi="Times New Roman"/>
          <w:b w:val="false"/>
          <w:bCs w:val="false"/>
          <w:color w:val="0000FF"/>
          <w:lang w:eastAsia="pt-BR"/>
        </w:rPr>
        <w:t xml:space="preserve"> </w:t>
      </w:r>
      <w:r>
        <w:rPr>
          <w:rFonts w:ascii="Times New Roman" w:hAnsi="Times New Roman"/>
          <w:b w:val="false"/>
          <w:bCs w:val="false"/>
          <w:color w:val="0000FF"/>
        </w:rPr>
        <w:t>O donatário terá o prazo de até 12 (doze) meses para construir e fixar residência no lote recebido, a partir do término da infra-estrutura de rede de água e energia elétrica, devendo a construção ser de alvenaria, possuir a área mínima de 35,00 m² e obedecer rigorosamente as disposições do Código Tributário Municipal</w:t>
      </w:r>
      <w:r>
        <w:rPr>
          <w:rFonts w:ascii="Times New Roman" w:hAnsi="Times New Roman"/>
          <w:b w:val="false"/>
          <w:bCs w:val="false"/>
          <w:color w:val="0000FF"/>
          <w:lang w:eastAsia="pt-BR"/>
        </w:rPr>
        <w:t>.</w:t>
      </w:r>
    </w:p>
    <w:p>
      <w:pPr>
        <w:pStyle w:val="style0"/>
        <w:spacing w:line="360" w:lineRule="auto"/>
        <w:ind w:firstLine="2550" w:left="0" w:right="0"/>
        <w:jc w:val="both"/>
      </w:pPr>
      <w:r>
        <w:rPr>
          <w:rFonts w:ascii="Times New Roman" w:hAnsi="Times New Roman"/>
          <w:b w:val="false"/>
          <w:bCs w:val="false"/>
          <w:color w:val="0000FF"/>
          <w:lang w:eastAsia="pt-BR"/>
        </w:rPr>
        <w:t>§ 1º</w:t>
      </w:r>
      <w:r>
        <w:rPr>
          <w:rFonts w:ascii="Times New Roman" w:hAnsi="Times New Roman"/>
          <w:b w:val="false"/>
          <w:bCs w:val="false"/>
          <w:color w:val="0000FF"/>
          <w:lang w:eastAsia="pt-BR"/>
        </w:rPr>
        <w:t xml:space="preserve"> O donatário não poderá alienar o imóvel objeto desta Lei dentro de um prazo de cinco anos, contados a partir do término da infra-estrutura de rede de água e energia elétrica</w:t>
      </w:r>
    </w:p>
    <w:p>
      <w:pPr>
        <w:pStyle w:val="style0"/>
        <w:spacing w:after="0" w:before="0" w:line="360" w:lineRule="auto"/>
        <w:ind w:firstLine="255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 w:val="false"/>
          <w:bCs w:val="false"/>
          <w:color w:val="0000FF"/>
          <w:spacing w:val="20"/>
          <w:lang w:eastAsia="pt-BR"/>
        </w:rPr>
        <w:t>§ 2º</w:t>
      </w:r>
      <w:r>
        <w:rPr>
          <w:rFonts w:ascii="Times New Roman" w:cs="Times New Roman" w:eastAsia="Times New Roman" w:hAnsi="Times New Roman"/>
          <w:b w:val="false"/>
          <w:bCs w:val="false"/>
          <w:color w:val="0000FF"/>
          <w:spacing w:val="20"/>
          <w:lang w:eastAsia="pt-BR"/>
        </w:rPr>
        <w:t xml:space="preserve"> No caso do donatário necessitar de efetuar financiamento destinado a construção de sua residência poderá oferecer como garantia real o imóvel objeto desta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4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Todas as despesas relacionadas com a lavratura de Escrituras Pública de Doação, bem como eventuais despesas referentes ao Imposto Sobre Transmissão Causa Mortis e Doação de Quaisquer Bens ou Direitos – ITCD, taxas, certidões e quaisquer outros emolumentos serão de inteira responsabilidade das donatárias, as quais deverão ser providenciadas dentro do prazo de até 120 (cento e vinte) dias.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5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6</w:t>
      </w:r>
      <w:r>
        <w:rPr>
          <w:rFonts w:ascii="Times New Roman" w:cs="Times New Roman" w:eastAsia="Times New Roman" w:hAnsi="Times New Roman"/>
          <w:b/>
          <w:color w:val="0000FF"/>
          <w:spacing w:val="20"/>
          <w:lang w:eastAsia="pt-BR"/>
        </w:rPr>
        <w:t>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Esta Lei entra em vigor na data de sua publicação.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right"/>
      </w:pP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Câmara</w:t>
      </w: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 xml:space="preserve"> de Limeira do Oeste MG, </w:t>
      </w: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06</w:t>
      </w: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dezembro</w:t>
      </w: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CELCIMAR BORGES ANDRADE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Presidente</w:t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4096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imes New Roman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2013-11-25T13:16:00.00Z</dcterms:created>
  <dc:creator>JURIDICO</dc:creator>
  <cp:lastModifiedBy>CLIENTE</cp:lastModifiedBy>
  <cp:lastPrinted>2013-10-28T16:32:00.00Z</cp:lastPrinted>
  <dcterms:modified xsi:type="dcterms:W3CDTF">2013-11-25T13:16:00.00Z</dcterms:modified>
  <cp:revision>2</cp:revision>
</cp:coreProperties>
</file>