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8"/>
        <w:spacing w:after="0" w:before="0" w:line="360" w:lineRule="auto"/>
        <w:contextualSpacing w:val="false"/>
        <w:jc w:val="center"/>
      </w:pPr>
      <w:r>
        <w:rPr>
          <w:color w:val="0000FF"/>
        </w:rPr>
        <w:t>PROPOSIÇÃO</w:t>
      </w:r>
      <w:r>
        <w:rPr>
          <w:color w:val="0000FF"/>
        </w:rPr>
        <w:t xml:space="preserve"> DE LEI N° 4</w:t>
      </w:r>
      <w:r>
        <w:rPr>
          <w:color w:val="0000FF"/>
        </w:rPr>
        <w:t>5</w:t>
      </w:r>
      <w:r>
        <w:rPr>
          <w:color w:val="0000FF"/>
        </w:rPr>
        <w:t xml:space="preserve">, DE </w:t>
      </w:r>
      <w:r>
        <w:rPr>
          <w:color w:val="0000FF"/>
        </w:rPr>
        <w:t>06</w:t>
      </w:r>
      <w:r>
        <w:rPr>
          <w:color w:val="0000FF"/>
        </w:rPr>
        <w:t xml:space="preserve"> DE </w:t>
      </w:r>
      <w:r>
        <w:rPr>
          <w:color w:val="0000FF"/>
        </w:rPr>
        <w:t>DEZEMBRO</w:t>
      </w:r>
      <w:r>
        <w:rPr>
          <w:color w:val="0000FF"/>
        </w:rPr>
        <w:t xml:space="preserve"> DE 2013.</w:t>
      </w:r>
    </w:p>
    <w:p>
      <w:pPr>
        <w:pStyle w:val="style28"/>
        <w:spacing w:after="0" w:before="0" w:line="360" w:lineRule="auto"/>
        <w:contextualSpacing w:val="false"/>
        <w:jc w:val="center"/>
      </w:pPr>
      <w:r>
        <w:rPr>
          <w:color w:val="000000"/>
        </w:rPr>
      </w:r>
    </w:p>
    <w:p>
      <w:pPr>
        <w:pStyle w:val="style28"/>
        <w:spacing w:after="0" w:before="0" w:line="360" w:lineRule="auto"/>
        <w:ind w:hanging="0" w:left="4253" w:right="0"/>
        <w:contextualSpacing w:val="false"/>
        <w:jc w:val="both"/>
      </w:pPr>
      <w:r>
        <w:rPr>
          <w:b/>
          <w:color w:val="000000"/>
        </w:rPr>
        <w:t>DECLARA ÁREA DE EXPANSÃO URBANA NO MUNICÍPIO DE LIMEIRA DO OESTE E DÁ OUTRAS PROVIDÊNCIAS.</w:t>
      </w:r>
    </w:p>
    <w:p>
      <w:pPr>
        <w:pStyle w:val="style28"/>
        <w:spacing w:after="0" w:before="0" w:line="360" w:lineRule="auto"/>
        <w:contextualSpacing w:val="false"/>
        <w:jc w:val="both"/>
      </w:pPr>
      <w:r>
        <w:rPr>
          <w:color w:val="000000"/>
        </w:rPr>
      </w:r>
    </w:p>
    <w:p>
      <w:pPr>
        <w:pStyle w:val="style28"/>
        <w:spacing w:after="0" w:before="0" w:line="360" w:lineRule="auto"/>
        <w:ind w:firstLine="2552" w:left="0" w:right="0"/>
        <w:contextualSpacing w:val="false"/>
        <w:jc w:val="both"/>
      </w:pPr>
      <w:r>
        <w:rPr>
          <w:color w:val="000000"/>
        </w:rPr>
        <w:t>O Prefeito do Município de Limeira do Oeste, Estado de Minas Gerais, no uso de suas atribuições legais e de acordo com o art. 14, inciso XXVIII, da Lei Orgânica Municipal, faz saber que a Câmara Municipal, por seus representantes, aprovou e ele com amparo no inciso VII, do art. 77, da Lei Orgânica do Município - LOM, sanciona e promulga a presente Lei:</w:t>
      </w:r>
    </w:p>
    <w:p>
      <w:pPr>
        <w:pStyle w:val="style28"/>
        <w:spacing w:after="0" w:before="0" w:line="360" w:lineRule="auto"/>
        <w:ind w:firstLine="2552" w:left="0" w:right="0"/>
        <w:contextualSpacing w:val="false"/>
        <w:jc w:val="both"/>
      </w:pPr>
      <w:r>
        <w:rPr>
          <w:color w:val="000000"/>
        </w:rPr>
      </w:r>
    </w:p>
    <w:p>
      <w:pPr>
        <w:pStyle w:val="style28"/>
        <w:spacing w:after="0" w:before="0" w:line="360" w:lineRule="auto"/>
        <w:ind w:firstLine="2552" w:left="0" w:right="0"/>
        <w:contextualSpacing w:val="false"/>
        <w:jc w:val="both"/>
      </w:pPr>
      <w:r>
        <w:rPr>
          <w:b/>
          <w:color w:val="000000"/>
        </w:rPr>
        <w:t>Art. 1°</w:t>
      </w:r>
      <w:r>
        <w:rPr>
          <w:color w:val="000000"/>
        </w:rPr>
        <w:t xml:space="preserve"> Fica declarada área de expansão urbana, no Município de Limeira do Oeste, a área abaixo descrita, de acordo com memorial assinado pelo Técnico Agrimensor, Ronaldo de Paulo Tavares, CREA MG 43487/TD:</w:t>
      </w:r>
    </w:p>
    <w:p>
      <w:pPr>
        <w:pStyle w:val="style28"/>
        <w:spacing w:after="0" w:before="0" w:line="360" w:lineRule="auto"/>
        <w:ind w:firstLine="2552" w:left="0" w:right="0"/>
        <w:contextualSpacing w:val="false"/>
        <w:jc w:val="both"/>
      </w:pPr>
      <w:r>
        <w:rPr>
          <w:color w:val="000000"/>
        </w:rPr>
      </w:r>
    </w:p>
    <w:p>
      <w:pPr>
        <w:pStyle w:val="style28"/>
        <w:spacing w:after="0" w:before="0" w:line="360" w:lineRule="auto"/>
        <w:ind w:hanging="2552" w:left="2552" w:right="0"/>
        <w:contextualSpacing w:val="false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  <w:t>“Começa em um marco cravado na margem do Córrego Colônia e segue confrontando com as terras de José do Carmo Cardoso, por cerca divisória com os seguintes rumos e distâncias: 39°37`42” NE por 115,415 metros, deste ponto vira-se à direita confrontando novamente com as terras de José do Carmo Cardoso, no rumo 157°48`23”, daí segue por esse referido Córrego abaixo, veio d´água até o ponto inicial. Totalizando uma área de 00.53.14 ha”.</w:t>
      </w:r>
    </w:p>
    <w:p>
      <w:pPr>
        <w:pStyle w:val="style28"/>
        <w:spacing w:after="0" w:before="0" w:line="360" w:lineRule="auto"/>
        <w:ind w:hanging="2552" w:left="2552" w:right="0"/>
        <w:contextualSpacing w:val="false"/>
        <w:jc w:val="both"/>
      </w:pPr>
      <w:r>
        <w:rPr>
          <w:color w:val="000000"/>
        </w:rPr>
      </w:r>
    </w:p>
    <w:p>
      <w:pPr>
        <w:pStyle w:val="style28"/>
        <w:spacing w:after="0" w:before="0" w:line="360" w:lineRule="auto"/>
        <w:ind w:firstLine="2552" w:left="0" w:right="0"/>
        <w:contextualSpacing w:val="false"/>
        <w:jc w:val="both"/>
      </w:pPr>
      <w:r>
        <w:rPr>
          <w:b/>
          <w:color w:val="000000"/>
        </w:rPr>
        <w:t>§1º</w:t>
      </w:r>
      <w:r>
        <w:rPr>
          <w:color w:val="000000"/>
        </w:rPr>
        <w:t xml:space="preserve"> A área descrita acima é parte de um todo maior constante da Matrícula nº 7.322 do Serviço Registral de Imóveis da Comarca de Iturama – MG, compreendido com as seguintes medidas e confrontações:</w:t>
      </w:r>
    </w:p>
    <w:p>
      <w:pPr>
        <w:pStyle w:val="style28"/>
        <w:spacing w:after="0" w:before="0" w:line="360" w:lineRule="auto"/>
        <w:ind w:firstLine="2552" w:left="0" w:right="0"/>
        <w:contextualSpacing w:val="false"/>
        <w:jc w:val="both"/>
      </w:pPr>
      <w:r>
        <w:rPr>
          <w:color w:val="000000"/>
        </w:rPr>
      </w:r>
    </w:p>
    <w:p>
      <w:pPr>
        <w:pStyle w:val="style28"/>
        <w:spacing w:after="0" w:before="0" w:line="360" w:lineRule="auto"/>
        <w:ind w:hanging="0" w:left="2552" w:right="0"/>
        <w:contextualSpacing w:val="false"/>
        <w:jc w:val="both"/>
      </w:pPr>
      <w:r>
        <w:rPr>
          <w:color w:val="000000"/>
        </w:rPr>
        <w:t>"Começa em um marco cravado na margem direita do córrego colônia e segue confrontando com as terras de Francisco Buosi por cerca divisória, com os seguintes rumos e distâncias; 16°42`03” NE por 1.075 metros, 78°13`27” SE – 200,80 metros, 19°56`00” NE – Até a Estrada Ademar Cunha a 373,10 metros, segue ainda com a mesma confrontação anterior, por esta dita estrada com o rumo de 51°00`00” NW – Até o marco cravado a 165,00 metros, daí segue confrontando com as terras de Waldemar Joaquim da Silva e outros, por cerca divisória, com o rumo de 28°22`34” SW – até o Córrego Colônia a 1,673 metros; daí segue por esse referido córrego acima, veio d</w:t>
      </w:r>
      <w:r>
        <w:rPr>
          <w:color w:val="000000"/>
        </w:rPr>
        <w:t>'</w:t>
      </w:r>
      <w:r>
        <w:rPr>
          <w:color w:val="000000"/>
        </w:rPr>
        <w:t>água até o ponto inicial. Totalizando uma área de 24.19.68 ha”. no marco C38, descrito em planta anexa, com coordenadas planas.</w:t>
      </w:r>
    </w:p>
    <w:p>
      <w:pPr>
        <w:pStyle w:val="style28"/>
        <w:spacing w:after="0" w:before="0" w:line="360" w:lineRule="auto"/>
        <w:ind w:hanging="0" w:left="2552" w:right="0"/>
        <w:contextualSpacing w:val="false"/>
        <w:jc w:val="both"/>
      </w:pPr>
      <w:r>
        <w:rPr>
          <w:color w:val="000000"/>
        </w:rPr>
      </w:r>
    </w:p>
    <w:p>
      <w:pPr>
        <w:pStyle w:val="style28"/>
        <w:spacing w:after="0" w:before="0" w:line="360" w:lineRule="auto"/>
        <w:ind w:firstLine="2552" w:left="0" w:right="0"/>
        <w:contextualSpacing w:val="false"/>
        <w:jc w:val="both"/>
      </w:pPr>
      <w:r>
        <w:rPr>
          <w:b/>
          <w:color w:val="000000"/>
        </w:rPr>
        <w:t>§2º</w:t>
      </w:r>
      <w:r>
        <w:rPr>
          <w:color w:val="000000"/>
        </w:rPr>
        <w:t xml:space="preserve"> A declaração da área como expansão urbana destina-se a regularização da Comunidade Nossa senhora Aparecida, ali existente de longa data.</w:t>
      </w:r>
    </w:p>
    <w:p>
      <w:pPr>
        <w:pStyle w:val="style28"/>
        <w:spacing w:after="0" w:before="0" w:line="360" w:lineRule="auto"/>
        <w:ind w:firstLine="2552" w:left="0" w:right="0"/>
        <w:contextualSpacing w:val="false"/>
        <w:jc w:val="both"/>
      </w:pPr>
      <w:r>
        <w:rPr>
          <w:color w:val="000000"/>
        </w:rPr>
      </w:r>
    </w:p>
    <w:p>
      <w:pPr>
        <w:pStyle w:val="style28"/>
        <w:spacing w:after="0" w:before="0" w:line="360" w:lineRule="auto"/>
        <w:ind w:firstLine="2552" w:left="0" w:right="0"/>
        <w:contextualSpacing w:val="false"/>
        <w:jc w:val="both"/>
      </w:pPr>
      <w:r>
        <w:rPr>
          <w:b/>
          <w:color w:val="000000"/>
        </w:rPr>
        <w:t>Art. 2°</w:t>
      </w:r>
      <w:r>
        <w:rPr>
          <w:color w:val="000000"/>
        </w:rPr>
        <w:t xml:space="preserve"> Esta lei entra em vigor na data de sua publicação, revogadas as disposições em contrário.</w:t>
      </w:r>
    </w:p>
    <w:p>
      <w:pPr>
        <w:pStyle w:val="style28"/>
        <w:spacing w:after="0" w:before="0" w:line="360" w:lineRule="auto"/>
        <w:ind w:firstLine="2552" w:left="0" w:right="0"/>
        <w:contextualSpacing w:val="false"/>
        <w:jc w:val="both"/>
      </w:pPr>
      <w:r>
        <w:rPr>
          <w:color w:val="000000"/>
        </w:rPr>
      </w:r>
    </w:p>
    <w:p>
      <w:pPr>
        <w:pStyle w:val="style28"/>
        <w:spacing w:after="0" w:before="0" w:line="360" w:lineRule="auto"/>
        <w:contextualSpacing w:val="false"/>
        <w:jc w:val="right"/>
      </w:pPr>
      <w:r>
        <w:rPr>
          <w:color w:val="0000FF"/>
        </w:rPr>
        <w:t>Câmara</w:t>
      </w:r>
      <w:r>
        <w:rPr>
          <w:color w:val="0000FF"/>
        </w:rPr>
        <w:t xml:space="preserve"> Municipal de Limeira do Oeste-MG, </w:t>
      </w:r>
      <w:r>
        <w:rPr>
          <w:color w:val="0000FF"/>
        </w:rPr>
        <w:t>06</w:t>
      </w:r>
      <w:r>
        <w:rPr>
          <w:color w:val="0000FF"/>
        </w:rPr>
        <w:t xml:space="preserve"> de </w:t>
      </w:r>
      <w:r>
        <w:rPr>
          <w:color w:val="0000FF"/>
        </w:rPr>
        <w:t>dezembro</w:t>
      </w:r>
      <w:r>
        <w:rPr>
          <w:color w:val="0000FF"/>
        </w:rPr>
        <w:t xml:space="preserve"> de 2013.</w:t>
      </w:r>
    </w:p>
    <w:p>
      <w:pPr>
        <w:pStyle w:val="style28"/>
        <w:spacing w:after="0" w:before="0" w:line="360" w:lineRule="auto"/>
        <w:contextualSpacing w:val="false"/>
        <w:jc w:val="right"/>
      </w:pPr>
      <w:r>
        <w:rPr>
          <w:color w:val="0000FF"/>
        </w:rPr>
      </w:r>
    </w:p>
    <w:p>
      <w:pPr>
        <w:pStyle w:val="style28"/>
        <w:spacing w:after="0" w:before="0" w:line="360" w:lineRule="auto"/>
        <w:contextualSpacing w:val="false"/>
        <w:jc w:val="right"/>
      </w:pPr>
      <w:r>
        <w:rPr>
          <w:color w:val="0000FF"/>
        </w:rPr>
      </w:r>
    </w:p>
    <w:p>
      <w:pPr>
        <w:pStyle w:val="style28"/>
        <w:spacing w:after="0" w:before="0" w:line="360" w:lineRule="auto"/>
        <w:contextualSpacing w:val="false"/>
        <w:jc w:val="right"/>
      </w:pPr>
      <w:r>
        <w:rPr>
          <w:color w:val="0000FF"/>
        </w:rPr>
      </w:r>
    </w:p>
    <w:p>
      <w:pPr>
        <w:pStyle w:val="style28"/>
        <w:spacing w:after="0" w:before="0" w:line="360" w:lineRule="auto"/>
        <w:contextualSpacing w:val="false"/>
        <w:jc w:val="center"/>
      </w:pPr>
      <w:r>
        <w:rPr>
          <w:b/>
          <w:bCs/>
          <w:color w:val="000000"/>
        </w:rPr>
        <w:t>CELCIMAR BORGES ANDRADE</w:t>
      </w:r>
    </w:p>
    <w:p>
      <w:pPr>
        <w:pStyle w:val="style28"/>
        <w:spacing w:after="0" w:before="0" w:line="360" w:lineRule="auto"/>
        <w:contextualSpacing w:val="false"/>
        <w:jc w:val="center"/>
      </w:pPr>
      <w:r>
        <w:rPr>
          <w:color w:val="000000"/>
        </w:rPr>
        <w:t>Presidente</w:t>
      </w:r>
    </w:p>
    <w:p>
      <w:pPr>
        <w:pStyle w:val="style28"/>
        <w:spacing w:after="0" w:before="0" w:line="360" w:lineRule="auto"/>
        <w:contextualSpacing w:val="false"/>
        <w:jc w:val="center"/>
      </w:pPr>
      <w:r>
        <w:rPr>
          <w:color w:val="000000"/>
        </w:rPr>
      </w:r>
    </w:p>
    <w:p>
      <w:pPr>
        <w:pStyle w:val="style28"/>
        <w:spacing w:after="0" w:before="0" w:line="360" w:lineRule="auto"/>
        <w:contextualSpacing w:val="false"/>
        <w:jc w:val="center"/>
      </w:pPr>
      <w:r>
        <w:rPr>
          <w:color w:val="000000"/>
        </w:rPr>
      </w:r>
    </w:p>
    <w:p>
      <w:pPr>
        <w:pStyle w:val="style28"/>
        <w:spacing w:after="0" w:before="0" w:line="360" w:lineRule="auto"/>
        <w:contextualSpacing w:val="false"/>
        <w:jc w:val="center"/>
      </w:pPr>
      <w:r>
        <w:rPr/>
      </w:r>
    </w:p>
    <w:sectPr>
      <w:type w:val="nextPage"/>
      <w:pgSz w:h="16838" w:w="11906"/>
      <w:pgMar w:bottom="1417" w:footer="0" w:gutter="0" w:header="0" w:left="1418" w:right="1134" w:top="2551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Times New Roman">
    <w:charset w:val="80"/>
    <w:family w:val="roman"/>
    <w:pitch w:val="variable"/>
  </w:font>
  <w:font w:name="Tahoma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0"/>
      <w:szCs w:val="20"/>
      <w:lang w:bidi="ar-SA" w:eastAsia="pt-BR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Título"/>
    <w:basedOn w:val="style0"/>
    <w:next w:val="style20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0" w:type="paragraph">
    <w:name w:val="Corpo do texto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Lohit Hindi"/>
    </w:rPr>
  </w:style>
  <w:style w:styleId="style22" w:type="paragraph">
    <w:name w:val="Legenda"/>
    <w:basedOn w:val="style0"/>
    <w:next w:val="style2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Lohit Hindi"/>
    </w:rPr>
  </w:style>
  <w:style w:styleId="style24" w:type="paragraph">
    <w:name w:val="Cabeçalho"/>
    <w:basedOn w:val="style0"/>
    <w:next w:val="style24"/>
    <w:pPr>
      <w:tabs>
        <w:tab w:leader="none" w:pos="4252" w:val="center"/>
        <w:tab w:leader="none" w:pos="8504" w:val="right"/>
      </w:tabs>
    </w:pPr>
    <w:rPr>
      <w:rFonts w:ascii="Calibri" w:cs="Calibri" w:hAnsi="Calibri"/>
      <w:sz w:val="22"/>
      <w:szCs w:val="22"/>
      <w:lang w:eastAsia="en-US"/>
    </w:rPr>
  </w:style>
  <w:style w:styleId="style25" w:type="paragraph">
    <w:name w:val="Rodapé"/>
    <w:basedOn w:val="style0"/>
    <w:next w:val="style25"/>
    <w:pPr>
      <w:tabs>
        <w:tab w:leader="none" w:pos="4252" w:val="center"/>
        <w:tab w:leader="none" w:pos="8504" w:val="right"/>
      </w:tabs>
    </w:pPr>
    <w:rPr>
      <w:rFonts w:ascii="Calibri" w:cs="Calibri" w:hAnsi="Calibri"/>
      <w:sz w:val="22"/>
      <w:szCs w:val="22"/>
      <w:lang w:eastAsia="en-US"/>
    </w:rPr>
  </w:style>
  <w:style w:styleId="style26" w:type="paragraph">
    <w:name w:val="Balloon Text"/>
    <w:basedOn w:val="style0"/>
    <w:next w:val="style26"/>
    <w:pPr/>
    <w:rPr>
      <w:rFonts w:ascii="Tahoma" w:cs="Tahoma" w:hAnsi="Tahoma"/>
      <w:sz w:val="16"/>
      <w:szCs w:val="16"/>
    </w:rPr>
  </w:style>
  <w:style w:styleId="style27" w:type="paragraph">
    <w:name w:val="No Spacing"/>
    <w:next w:val="style27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pt-BR" w:val="pt-BR"/>
    </w:rPr>
  </w:style>
  <w:style w:styleId="style28" w:type="paragraph">
    <w:name w:val="Normal (Web)"/>
    <w:basedOn w:val="style0"/>
    <w:next w:val="style28"/>
    <w:pPr>
      <w:spacing w:after="100" w:before="100"/>
      <w:contextualSpacing w:val="false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LibreOffice/4.0.2.2$Linux_x86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2013-11-25T11:40:00.00Z</dcterms:created>
  <dc:creator>CLIENTE</dc:creator>
  <cp:lastModifiedBy>CLIENTE</cp:lastModifiedBy>
  <cp:lastPrinted>2013-05-13T13:21:00.00Z</cp:lastPrinted>
  <dcterms:modified xsi:type="dcterms:W3CDTF">2013-11-25T11:40:00.00Z</dcterms:modified>
  <cp:revision>2</cp:revision>
</cp:coreProperties>
</file>